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CB" w:rsidRDefault="000F76EA">
      <w:pPr>
        <w:pStyle w:val="Standard"/>
        <w:jc w:val="center"/>
        <w:rPr>
          <w:rFonts w:hint="eastAsia"/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Cuestionario del diario Berria para Araceli Mangas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-La UE está en un proceso de reflexión para avanzar en su proceso de integración. ¿Cuáles son los temas más importantes a tratar?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esta fase de diálogo con los ciudadanos no hay temas predeterminados; se han agrupado por las preferencias expresadas en el Eurobarómetro, sin bien el diálogo es abierto, sin límites.</w:t>
      </w:r>
    </w:p>
    <w:p w:rsidR="004B02CB" w:rsidRDefault="004B02CB">
      <w:pPr>
        <w:pStyle w:val="Standard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-¿Cuánto podría tardar este proceso de reforma?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La fase actual de d</w:t>
      </w:r>
      <w:r>
        <w:rPr>
          <w:rFonts w:ascii="Calibri" w:hAnsi="Calibri"/>
          <w:lang w:val="es-ES"/>
        </w:rPr>
        <w:t>iálogo ciudadano en la Conferencia sobre el Futuro de Europa terminará en la primavera de 2022. Y si se convoca el proceso formal de revisión podría terminar entre 2024-2025.</w:t>
      </w:r>
    </w:p>
    <w:p w:rsidR="004B02CB" w:rsidRDefault="004B02CB">
      <w:pPr>
        <w:pStyle w:val="Standard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-Has solido señalar que en su historia Europa ha sido fundamentalmente un "proye</w:t>
      </w:r>
      <w:r>
        <w:rPr>
          <w:lang w:val="es-ES"/>
        </w:rPr>
        <w:t>cto de paz", pero que ahora se dispone a dar un salto cualitativo con la ambición de convertirse en una potencia internacional. ¿Por qué es necesario dar ese paso?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El proyecto de paz ha asegurado la reconciliación y compartir soberanía en un mercado único</w:t>
      </w:r>
      <w:r>
        <w:rPr>
          <w:rFonts w:ascii="Calibri" w:hAnsi="Calibri"/>
          <w:lang w:val="es-ES"/>
        </w:rPr>
        <w:t xml:space="preserve">. Ahora algunos líderes proponen que debemos debatir si nos identificamos y defendemos ante el resto del mundo. 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-Los responsables políticos de la UE hablan abiertamente de reforzar la soberanía europea. ¿En qué se traduce esa expresión?  </w:t>
      </w:r>
    </w:p>
    <w:p w:rsidR="004B02CB" w:rsidRDefault="004B02CB">
      <w:pPr>
        <w:pStyle w:val="Standard"/>
        <w:rPr>
          <w:rFonts w:ascii="Times New Roman" w:hAnsi="Times New Roman" w:cs="Times New Roman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 w:cs="Times New Roman"/>
          <w:lang w:val="es-ES"/>
        </w:rPr>
      </w:pPr>
      <w:r>
        <w:rPr>
          <w:rFonts w:ascii="Calibri" w:hAnsi="Calibri" w:cs="Times New Roman"/>
          <w:lang w:val="es-ES"/>
        </w:rPr>
        <w:t>No es un proye</w:t>
      </w:r>
      <w:r>
        <w:rPr>
          <w:rFonts w:ascii="Calibri" w:hAnsi="Calibri" w:cs="Times New Roman"/>
          <w:lang w:val="es-ES"/>
        </w:rPr>
        <w:t>cto estatalizante. Traduce la aspiración de la Unión para encarnar una identidad política compartida en el escenario mundial y tener poder de influencia internacional.</w:t>
      </w:r>
    </w:p>
    <w:p w:rsidR="004B02CB" w:rsidRDefault="004B02CB">
      <w:pPr>
        <w:pStyle w:val="Standard"/>
        <w:rPr>
          <w:rFonts w:ascii="Calibri" w:hAnsi="Calibri" w:cs="Times New Roman"/>
          <w:lang w:val="es-ES"/>
        </w:rPr>
      </w:pPr>
    </w:p>
    <w:p w:rsidR="004B02CB" w:rsidRDefault="004B02CB">
      <w:pPr>
        <w:pStyle w:val="Standard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-¿Qué requiere la UE para dar ese paso?</w:t>
      </w:r>
    </w:p>
    <w:p w:rsidR="004B02CB" w:rsidRDefault="004B02CB">
      <w:pPr>
        <w:pStyle w:val="Standard"/>
        <w:rPr>
          <w:rFonts w:ascii="Arial" w:hAnsi="Arial" w:cs="Arial"/>
          <w:spacing w:val="-3"/>
          <w:sz w:val="28"/>
          <w:szCs w:val="28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 w:cs="Arial"/>
          <w:spacing w:val="-3"/>
          <w:lang w:val="es-ES"/>
        </w:rPr>
      </w:pPr>
      <w:r>
        <w:rPr>
          <w:rFonts w:ascii="Calibri" w:hAnsi="Calibri" w:cs="Arial"/>
          <w:spacing w:val="-3"/>
          <w:lang w:val="es-ES"/>
        </w:rPr>
        <w:t xml:space="preserve">Se requiere determinación y voluntad. Y </w:t>
      </w:r>
      <w:r>
        <w:rPr>
          <w:rFonts w:ascii="Calibri" w:hAnsi="Calibri" w:cs="Arial"/>
          <w:spacing w:val="-3"/>
          <w:lang w:val="es-ES"/>
        </w:rPr>
        <w:t>depender más de nosotros mismos que de un tercero.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-¿Crees que se dan las condiciones necesarias teniendo en cuenta las reticencias por parte de varios estados miembros a una mayor integración?</w:t>
      </w:r>
    </w:p>
    <w:p w:rsidR="004B02CB" w:rsidRDefault="004B02CB">
      <w:pPr>
        <w:pStyle w:val="Standard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 todos los Estados miembros se han pronunciado pero tampoc</w:t>
      </w:r>
      <w:r>
        <w:rPr>
          <w:rFonts w:ascii="Calibri" w:hAnsi="Calibri"/>
          <w:lang w:val="es-ES"/>
        </w:rPr>
        <w:t xml:space="preserve">o en contra. Francia y la Comisión Europea son los impulsores de la idea, la apoya el Parlamento europeo; también se utiliza en el tratado franco-alemán de Aquisgrán (2019).  </w:t>
      </w:r>
    </w:p>
    <w:p w:rsidR="004B02CB" w:rsidRDefault="004B02CB">
      <w:pPr>
        <w:pStyle w:val="Standard"/>
        <w:rPr>
          <w:rFonts w:ascii="Calibri" w:hAnsi="Calibri"/>
          <w:lang w:val="es-ES"/>
        </w:rPr>
      </w:pP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-Las crisis que la UE ha ido atravesando en los últimos años (la económica, la</w:t>
      </w:r>
      <w:r>
        <w:rPr>
          <w:lang w:val="es-ES"/>
        </w:rPr>
        <w:t xml:space="preserve"> de la deuda soberana, la bancaria, la de inmigración, etc.) han obligado a realizar varias reformas. ¿Cómo influirá la pandemia del COVID-19 en este proceso hacia una mayor integración?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Ya ha aportado una medida impensable y muy positiva, la mutualizació</w:t>
      </w:r>
      <w:r>
        <w:rPr>
          <w:rFonts w:ascii="Calibri" w:hAnsi="Calibri"/>
          <w:lang w:val="es-ES"/>
        </w:rPr>
        <w:t>n de la deuda. Salvo un par de semanas en que cada Estado solo miró para sí mismo, desde abril de 2020 ya se pensó en tomar decisiones históricas para salvarnos todos juntos.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-La situación geopolítica ha cambiado mucho en los últimos años. En tu opinión, </w:t>
      </w:r>
      <w:r>
        <w:rPr>
          <w:lang w:val="es-ES"/>
        </w:rPr>
        <w:t>Europa no puede seguir dependiendo de la protección de EEUU y de la OTAN. ¿A qué amenazas se enfrenta en materia de defensa?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Para Europa, el mayor peligro es el Mediterráneo, desde su orilla más oriental en Asia, hasta la occidental atlántica en el golfo </w:t>
      </w:r>
      <w:r>
        <w:rPr>
          <w:rFonts w:ascii="Calibri" w:hAnsi="Calibri"/>
          <w:lang w:val="es-ES"/>
        </w:rPr>
        <w:t xml:space="preserve">de Guinea, y en profundidad más allá de la región de Sahel . Y el colapso de Estados de nuestra vecindad en esos límites sería incontrolable (terrorismo, inmigración descontrolada, con Rusia y Turquía ocupando el vacío por nuestra irresponsabilidad).  </w:t>
      </w:r>
    </w:p>
    <w:p w:rsidR="004B02CB" w:rsidRDefault="004B02CB">
      <w:pPr>
        <w:pStyle w:val="Standard"/>
        <w:jc w:val="both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-T</w:t>
      </w:r>
      <w:r>
        <w:rPr>
          <w:lang w:val="es-ES"/>
        </w:rPr>
        <w:t>ambién has destacado la necesidad de una mayor proyección de la UE en las relaciones internacionales. ¿Qué margen de autonomía puede tener Europa entre EEUU y China?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la rivalidad EEUU-China debemos tomar posición y actuar en función de nuestros interes</w:t>
      </w:r>
      <w:r>
        <w:rPr>
          <w:rFonts w:ascii="Calibri" w:hAnsi="Calibri"/>
          <w:lang w:val="es-ES"/>
        </w:rPr>
        <w:t>es y no de terceros. Debemos decidir por nosotros. Hasta ahora hemos sido las víctimas de su guerra comercial. O asumimos el rol de jugador o seremos su juguete.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-Según has señalado, es muy importante que la UE esté dotada de legitimidad democrática para </w:t>
      </w:r>
      <w:r>
        <w:rPr>
          <w:lang w:val="es-ES"/>
        </w:rPr>
        <w:t>poder ser influyente en el ámbito internacional. ¿Cómo afecta la deriva autoritaria de determinados países como Hungría o Polonia en este aspecto?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Nos perjudica, nos desarma moralmente. 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-La UE se ha mostrado poco eficaz a la hora de atajar ese problema.</w:t>
      </w:r>
      <w:r>
        <w:rPr>
          <w:lang w:val="es-ES"/>
        </w:rPr>
        <w:t xml:space="preserve"> ¿Crees que la posible congelación de los fondos de recuperación a Hungría marcaría un antes y un después?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La UE ha hecho todo lo que podía con los instrumentos del Derecho y de justicia disponibles. No existe una capacidad de decisión sin reglas. La nuev</w:t>
      </w:r>
      <w:r>
        <w:rPr>
          <w:rFonts w:ascii="Calibri" w:hAnsi="Calibri"/>
          <w:lang w:val="es-ES"/>
        </w:rPr>
        <w:t xml:space="preserve">a vía ya aprobada de retirar fondos si se violan los valores de la UE puede ser efectiva. 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-Uno de los grandes retos que has mencionado en la conferencia se refiere a mejorar la calidad de la gobernanza de la unión. ¿Qué medidas crees que se deberían </w:t>
      </w:r>
      <w:r>
        <w:rPr>
          <w:lang w:val="es-ES"/>
        </w:rPr>
        <w:t>adoptar en ese sentido?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eficiencia y democracia no hay techos. La UE puede unificar cargos de representación duplicados. Así, la presidencia de la Comisión y del Consejo Europeo; la presidencia del Eurogrupo y la vicepresidencia de Asuntos Económicos d</w:t>
      </w:r>
      <w:r>
        <w:rPr>
          <w:rFonts w:ascii="Calibri" w:hAnsi="Calibri"/>
          <w:lang w:val="es-ES"/>
        </w:rPr>
        <w:t>e la Comisión. Y más control sobre las instituciones de la Eurozona (Eurogrupo).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-La inmigración es otro de los grandes retos de la UE. ¿Se prevén reformas en este ámbito?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Claro que a muchos nos gustaría, pero los Estados del grupo </w:t>
      </w:r>
      <w:proofErr w:type="spellStart"/>
      <w:r>
        <w:rPr>
          <w:rFonts w:ascii="Calibri" w:hAnsi="Calibri"/>
          <w:lang w:val="es-ES"/>
        </w:rPr>
        <w:t>Visegrado</w:t>
      </w:r>
      <w:proofErr w:type="spellEnd"/>
      <w:r>
        <w:rPr>
          <w:rFonts w:ascii="Calibri" w:hAnsi="Calibri"/>
          <w:lang w:val="es-ES"/>
        </w:rPr>
        <w:t xml:space="preserve"> (Eslovaquia,</w:t>
      </w:r>
      <w:r>
        <w:rPr>
          <w:rFonts w:ascii="Calibri" w:hAnsi="Calibri"/>
          <w:lang w:val="es-ES"/>
        </w:rPr>
        <w:t xml:space="preserve"> Chequia, Hungría y Polonia) y parte de la liga hanseática son muy reacios a canales amplios para la migración y desean que siga bajo control nacional la admisión de migrantes.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-¿Qué importancia tiene la Conferencia sobre el futuro de Europa en este proce</w:t>
      </w:r>
      <w:r>
        <w:rPr>
          <w:lang w:val="es-ES"/>
        </w:rPr>
        <w:t>so?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La UE necesita apoyo ciudadano; ha sido vital que las clases medias hayan sustentado el proyecto de integración. No basta contar a la gente en las elecciones, se trata de contar CON la gente. Y más si nos comprometemos con la seguridad global.</w:t>
      </w:r>
    </w:p>
    <w:p w:rsidR="004B02CB" w:rsidRDefault="004B02CB">
      <w:pPr>
        <w:pStyle w:val="Standard"/>
        <w:jc w:val="both"/>
        <w:rPr>
          <w:rFonts w:ascii="Calibri" w:hAnsi="Calibri"/>
          <w:lang w:val="es-ES"/>
        </w:rPr>
      </w:pP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-¿Que </w:t>
      </w:r>
      <w:r>
        <w:rPr>
          <w:lang w:val="es-ES"/>
        </w:rPr>
        <w:t>peso deben tener las conclusiones de ese debate en las decisiones que vayan a adoptar los órganos de la UE en este proceso de reforma?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rPr>
          <w:rFonts w:hint="eastAsia"/>
        </w:rPr>
      </w:pPr>
      <w:r>
        <w:rPr>
          <w:rFonts w:ascii="Calibri" w:hAnsi="Calibri"/>
          <w:lang w:val="es-ES"/>
        </w:rPr>
        <w:t>Las recomendaciones de esta fase de escucha deben ser tenidas en cuenta por las instituciones europeas y, sobre todo, po</w:t>
      </w:r>
      <w:r>
        <w:rPr>
          <w:rFonts w:ascii="Calibri" w:hAnsi="Calibri"/>
          <w:lang w:val="es-ES"/>
        </w:rPr>
        <w:t>r los gobiernos y parlamentos nacionales</w:t>
      </w:r>
      <w:r>
        <w:rPr>
          <w:lang w:val="es-ES"/>
        </w:rPr>
        <w:t>.</w:t>
      </w:r>
    </w:p>
    <w:p w:rsidR="004B02CB" w:rsidRDefault="000F76EA">
      <w:pPr>
        <w:pStyle w:val="Standard"/>
        <w:rPr>
          <w:rFonts w:hint="eastAsia"/>
          <w:lang w:val="es-ES"/>
        </w:rPr>
      </w:pPr>
      <w:r>
        <w:rPr>
          <w:lang w:val="es-ES"/>
        </w:rPr>
        <w:t>-Has descrito a Europa como un proyecto que se está en construcción constante. ¿Se trata de una fortaleza o refleja inestabilidad?</w:t>
      </w:r>
    </w:p>
    <w:p w:rsidR="004B02CB" w:rsidRDefault="004B02CB">
      <w:pPr>
        <w:pStyle w:val="Standard"/>
        <w:rPr>
          <w:rFonts w:hint="eastAsia"/>
          <w:lang w:val="es-ES"/>
        </w:rPr>
      </w:pPr>
    </w:p>
    <w:p w:rsidR="004B02CB" w:rsidRDefault="000F76EA">
      <w:pPr>
        <w:pStyle w:val="Standard"/>
        <w:jc w:val="both"/>
        <w:rPr>
          <w:rFonts w:hint="eastAsia"/>
        </w:rPr>
      </w:pPr>
      <w:r>
        <w:rPr>
          <w:rFonts w:ascii="Calibri" w:hAnsi="Calibri"/>
          <w:lang w:val="es-ES"/>
        </w:rPr>
        <w:t>Ni lo uno lo otro. Europa no es propiedad o autoría de una sola generación. Nada e</w:t>
      </w:r>
      <w:r>
        <w:rPr>
          <w:rFonts w:ascii="Calibri" w:hAnsi="Calibri"/>
          <w:lang w:val="es-ES"/>
        </w:rPr>
        <w:t>stá cerrado ni impuesto para generaciones venideras. No quedó “todo atado y bien atado” en 1958, o en 1992, ni en 2009. Todos podemos mejorar la herencia de paz y prosperidad recibida.</w:t>
      </w:r>
    </w:p>
    <w:sectPr w:rsidR="004B02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EA" w:rsidRDefault="000F76EA">
      <w:pPr>
        <w:rPr>
          <w:rFonts w:hint="eastAsia"/>
        </w:rPr>
      </w:pPr>
      <w:r>
        <w:separator/>
      </w:r>
    </w:p>
  </w:endnote>
  <w:endnote w:type="continuationSeparator" w:id="0">
    <w:p w:rsidR="000F76EA" w:rsidRDefault="000F76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EA" w:rsidRDefault="000F76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76EA" w:rsidRDefault="000F76E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02CB"/>
    <w:rsid w:val="000F76EA"/>
    <w:rsid w:val="004B02CB"/>
    <w:rsid w:val="00E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B8AA-1E21-4FB6-88C5-A6036E2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u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2021-07-15T10:50:00Z</dcterms:created>
  <dcterms:modified xsi:type="dcterms:W3CDTF">2021-07-15T10:50:00Z</dcterms:modified>
</cp:coreProperties>
</file>